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85" w:rsidRDefault="000A7585" w:rsidP="000A75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</w:t>
      </w:r>
    </w:p>
    <w:p w:rsidR="000A7585" w:rsidRDefault="000A7585" w:rsidP="000A75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A758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71840"/>
            <wp:effectExtent l="19050" t="0" r="317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85" w:rsidRDefault="000A7585" w:rsidP="000A75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ПОЯСНИТЕЛЬНАЯ ЗАПИСКА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ств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1cb9ba3-8936-440c-ac0f-95944fbe2f65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0A7585" w:rsidRDefault="000A7585" w:rsidP="000A7585">
      <w:pPr>
        <w:spacing w:after="0"/>
        <w:rPr>
          <w:lang w:val="ru-RU"/>
        </w:rPr>
        <w:sectPr w:rsidR="000A7585">
          <w:pgSz w:w="11906" w:h="16383"/>
          <w:pgMar w:top="1134" w:right="850" w:bottom="1134" w:left="1701" w:header="720" w:footer="720" w:gutter="0"/>
          <w:cols w:space="720"/>
        </w:sect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Объём диалога – 8 реплик со стороны каждого собеседника.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bookmarkStart w:id="1" w:name="block-13119288"/>
      <w:bookmarkEnd w:id="1"/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7585" w:rsidRDefault="000A7585" w:rsidP="000A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0A7585" w:rsidRDefault="000A7585" w:rsidP="000A758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A7585" w:rsidRDefault="000A7585" w:rsidP="000A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0A7585" w:rsidRDefault="000A7585" w:rsidP="000A758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7585" w:rsidRDefault="000A7585" w:rsidP="000A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A7585" w:rsidRDefault="000A7585" w:rsidP="000A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0A7585" w:rsidRDefault="000A7585" w:rsidP="000A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0A7585" w:rsidRDefault="000A7585" w:rsidP="000A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7585" w:rsidRDefault="000A7585" w:rsidP="000A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A7585" w:rsidRDefault="000A7585" w:rsidP="000A75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A7585" w:rsidRDefault="000A7585" w:rsidP="000A75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A7585" w:rsidRDefault="000A7585" w:rsidP="000A75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0A7585" w:rsidRDefault="000A7585" w:rsidP="000A75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A7585" w:rsidRDefault="000A7585" w:rsidP="000A7585">
      <w:pPr>
        <w:spacing w:after="0" w:line="264" w:lineRule="auto"/>
        <w:ind w:left="120"/>
        <w:jc w:val="both"/>
      </w:pPr>
    </w:p>
    <w:p w:rsidR="000A7585" w:rsidRDefault="000A7585" w:rsidP="000A758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A7585" w:rsidRDefault="000A7585" w:rsidP="000A75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A7585" w:rsidRDefault="000A7585" w:rsidP="000A75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A7585" w:rsidRDefault="000A7585" w:rsidP="000A7585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585" w:rsidRDefault="000A7585" w:rsidP="000A75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A7585" w:rsidRDefault="000A7585" w:rsidP="000A7585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585" w:rsidRDefault="000A7585" w:rsidP="000A75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A7585" w:rsidRDefault="000A7585" w:rsidP="000A758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A7585" w:rsidRDefault="000A7585" w:rsidP="000A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A7585" w:rsidRDefault="000A7585" w:rsidP="000A758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0A7585" w:rsidRDefault="000A7585" w:rsidP="000A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A7585" w:rsidRDefault="000A7585" w:rsidP="000A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0A7585" w:rsidRDefault="000A7585" w:rsidP="000A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A7585" w:rsidRDefault="000A7585" w:rsidP="000A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A7585" w:rsidRDefault="000A7585" w:rsidP="000A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7585" w:rsidRDefault="000A7585" w:rsidP="000A7585">
      <w:pPr>
        <w:spacing w:after="0" w:line="264" w:lineRule="auto"/>
        <w:ind w:left="120"/>
        <w:jc w:val="both"/>
        <w:rPr>
          <w:lang w:val="ru-RU"/>
        </w:rPr>
      </w:pP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притяжательный падеж имён существительных;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0A7585" w:rsidRDefault="000A7585" w:rsidP="000A75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A7585" w:rsidRDefault="000A7585" w:rsidP="000A758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" w:name="_GoBack"/>
      <w:r>
        <w:rPr>
          <w:rFonts w:ascii="Times New Roman" w:hAnsi="Times New Roman" w:cs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0A7585" w:rsidRDefault="000A7585" w:rsidP="000A758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0A7585" w:rsidRDefault="000A7585" w:rsidP="000A75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Воспитательный аспект обучения иностранному языку</w:t>
      </w:r>
    </w:p>
    <w:p w:rsidR="000A7585" w:rsidRDefault="000A7585" w:rsidP="000A75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Я, учитель английского языка, понимаем насколько важно учитывать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воспитательный аспект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обучении иностранному языку.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Иностранный язык представляет нам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множество возможностей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для того, чтобы мы могли воспитать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обладающую высокой системой общечеловеческих ценностей.     </w:t>
      </w:r>
    </w:p>
    <w:p w:rsidR="000A7585" w:rsidRDefault="000A7585" w:rsidP="000A75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Современный процесс обучения, построенный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 коммуникативной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ориентацией на личность ученика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формирует у ученика широкий взгляд на мир.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Процесс овладения иностранным языком выступает в качестве мощного механизма личностного развития учеников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Ведь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помимо обучения непосредственно языку, необходимо привить учащимся интерес к стране, где говорят на нем, воспитать любовь к традициям и культурным ценностям носителей языка, научить определенным правилам поведения, передать ученикам формулы вежливости, которые используются в англоязычных странах и их речевые клише (воспитание культуры общения).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Кроме того, на уроках английского языка можно провести сравнение с культурой и традициями нашей страны, тем самым создавая условия для воспитания чувства патриотизма.</w:t>
      </w:r>
    </w:p>
    <w:p w:rsidR="000A7585" w:rsidRDefault="000A7585" w:rsidP="000A7585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воспитательный аспект является одним из главных  аспектов обучения иностранному языку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Поэтому главная ценность  иностранного языка заключается в его воспитательном потенциале. 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Воспитательный потенциал заложен в системе обучения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Учебная деятельность по иностранному языку осуществляется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:  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-урочную деятельность 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- внеурочную деятельность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Воспитательный потенциал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является специфической чертой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ru-RU"/>
        </w:rPr>
        <w:t>любого урока иностранного языка.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Воспитательные возможности заключены в содержании используемых материалов, в методической системе обучения, в личности учителя и его поведении.</w:t>
      </w:r>
    </w:p>
    <w:p w:rsidR="000A7585" w:rsidRDefault="000A7585" w:rsidP="000A75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(внеклассная работа) по иностранному языку имеет большое общеобразовательное,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развивающее значение. Эта работа не только углубляет и расширяет знания иностранного языка, но и способствует также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</w:t>
      </w:r>
    </w:p>
    <w:p w:rsidR="000A7585" w:rsidRDefault="000A7585" w:rsidP="000A75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В своей работе я придерживаюсь  принципа:  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«Скажи мн</w:t>
      </w:r>
      <w:proofErr w:type="gramStart"/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и я забуду,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 Покажи мн</w:t>
      </w:r>
      <w:proofErr w:type="gramStart"/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и я запомню,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  <w:lang w:val="ru-RU"/>
        </w:rPr>
        <w:t>Вовлеки меня – и научусь»</w:t>
      </w: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(Китайская мудрость)</w:t>
      </w:r>
    </w:p>
    <w:p w:rsidR="000A7585" w:rsidRDefault="000A7585" w:rsidP="000A75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На самом деле, это принцип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подхода в обучении  в соответствии со стандартами ФГОС  (как на уроках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так и при проведении внеклассных мероприятий). </w:t>
      </w:r>
    </w:p>
    <w:p w:rsidR="000A7585" w:rsidRDefault="000A7585" w:rsidP="000A758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Рассмотрим более подробно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воспитательный аспект во внеурочной деятельности.</w:t>
      </w:r>
    </w:p>
    <w:p w:rsidR="000A7585" w:rsidRDefault="000A7585" w:rsidP="000A75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585" w:rsidRDefault="000A7585" w:rsidP="000A75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Внеклассная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иностранному языку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необходима для развития и поддержания интереса к изучению иностранного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, для развития творческих способностей учащихся</w:t>
      </w:r>
    </w:p>
    <w:p w:rsidR="000A7585" w:rsidRDefault="000A7585" w:rsidP="000A75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 из форм внеурочной деятельности по ин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зыку является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проведение предметных недель в школе.</w:t>
      </w:r>
    </w:p>
    <w:p w:rsidR="000A7585" w:rsidRDefault="000A7585" w:rsidP="000A75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 рамках методической недели английского языка  проводится много разнообразных мероприятий (заранее планируется  каждый день/ разные формы)- слайд.</w:t>
      </w:r>
    </w:p>
    <w:p w:rsidR="000A7585" w:rsidRDefault="000A7585" w:rsidP="000A75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Неделя английского языка дает ребятам возможность на практике применить свои знания, независимо от их уровня, и дает возможность поверить в свои силы в изучении английского языка.</w:t>
      </w:r>
    </w:p>
    <w:p w:rsidR="000A7585" w:rsidRDefault="000A7585" w:rsidP="000A75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Главным принципом Недели английского языка является вовлечение как можно больше учащихся школы в события Недели, предлагая им задания и мероприятия посильного уровня. </w:t>
      </w:r>
    </w:p>
    <w:p w:rsidR="000A7585" w:rsidRDefault="000A7585" w:rsidP="000A758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Так, проведение Недели иностранного языка в школе имеет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следующий</w:t>
      </w:r>
      <w:proofErr w:type="gramEnd"/>
    </w:p>
    <w:p w:rsidR="000A7585" w:rsidRDefault="000A7585" w:rsidP="000A7585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Воспитательный аспек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т: </w:t>
      </w:r>
    </w:p>
    <w:p w:rsidR="000A7585" w:rsidRDefault="000A7585" w:rsidP="000A758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• воспитание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толерантного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отношению к чужой культуре, традициям и обычаям, к чужому мнению;</w:t>
      </w:r>
    </w:p>
    <w:p w:rsidR="000A7585" w:rsidRDefault="000A7585" w:rsidP="000A758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• воспитание гармонично развитой  личности.  </w:t>
      </w:r>
    </w:p>
    <w:p w:rsidR="000A7585" w:rsidRDefault="000A7585" w:rsidP="000A758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•повышение мотивации учащихся к изучению иностранного языка;</w:t>
      </w:r>
    </w:p>
    <w:p w:rsidR="000A7585" w:rsidRDefault="000A7585" w:rsidP="000A758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•способствует  сплоченности коллектива</w:t>
      </w: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3119289"/>
      <w:bookmarkEnd w:id="2"/>
      <w:bookmarkEnd w:id="3"/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Pr="000A7585" w:rsidRDefault="000A7585" w:rsidP="000A7585">
      <w:pPr>
        <w:spacing w:after="0"/>
        <w:ind w:left="120"/>
        <w:rPr>
          <w:lang w:val="ru-RU"/>
        </w:rPr>
      </w:pPr>
      <w:r w:rsidRPr="000A7585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0A7585" w:rsidRPr="000A7585" w:rsidRDefault="000A7585" w:rsidP="000A7585">
      <w:pPr>
        <w:spacing w:after="0"/>
        <w:ind w:left="120"/>
        <w:rPr>
          <w:lang w:val="ru-RU"/>
        </w:rPr>
      </w:pPr>
      <w:r w:rsidRPr="000A7585">
        <w:rPr>
          <w:rFonts w:ascii="Times New Roman" w:hAnsi="Times New Roman"/>
          <w:b/>
          <w:color w:val="000000"/>
          <w:sz w:val="28"/>
          <w:lang w:val="ru-RU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0A7585" w:rsidTr="000A7585">
        <w:trPr>
          <w:trHeight w:val="144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выбора профессии. Роль иностранного языка в планах на будущее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/>
        </w:tc>
      </w:tr>
    </w:tbl>
    <w:p w:rsidR="000A7585" w:rsidRDefault="000A7585" w:rsidP="000A7585">
      <w:pPr>
        <w:spacing w:after="0"/>
        <w:sectPr w:rsidR="000A7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585" w:rsidRDefault="000A7585" w:rsidP="000A7585">
      <w:pPr>
        <w:spacing w:after="0"/>
        <w:ind w:left="120"/>
      </w:pPr>
      <w:bookmarkStart w:id="4" w:name="block-131192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7585" w:rsidRDefault="000A7585" w:rsidP="000A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0A7585" w:rsidTr="000A7585">
        <w:trPr>
          <w:trHeight w:val="14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/>
        </w:tc>
      </w:tr>
    </w:tbl>
    <w:p w:rsidR="000A7585" w:rsidRDefault="000A7585" w:rsidP="000A7585">
      <w:pPr>
        <w:spacing w:after="0"/>
        <w:sectPr w:rsidR="000A7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585" w:rsidRDefault="000A7585" w:rsidP="000A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0A7585" w:rsidTr="000A7585">
        <w:trPr>
          <w:trHeight w:val="14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585" w:rsidRDefault="000A7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585" w:rsidRDefault="000A7585">
            <w:pPr>
              <w:spacing w:after="0" w:line="240" w:lineRule="auto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Взаимоуважение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Здоровый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жизни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и зарубежным странам"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Страницы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>
            <w:pPr>
              <w:spacing w:after="0"/>
              <w:ind w:left="135"/>
            </w:pPr>
          </w:p>
        </w:tc>
      </w:tr>
      <w:tr w:rsidR="000A7585" w:rsidTr="000A75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7585" w:rsidRDefault="000A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7585" w:rsidRDefault="000A7585"/>
        </w:tc>
      </w:tr>
    </w:tbl>
    <w:p w:rsidR="000A7585" w:rsidRDefault="000A7585" w:rsidP="000A7585">
      <w:pPr>
        <w:spacing w:after="0"/>
        <w:sectPr w:rsidR="000A7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585" w:rsidRDefault="000A7585" w:rsidP="000A7585">
      <w:pPr>
        <w:spacing w:after="0"/>
        <w:ind w:left="120"/>
        <w:rPr>
          <w:lang w:val="ru-RU"/>
        </w:rPr>
      </w:pPr>
      <w:bookmarkStart w:id="5" w:name="block-1311929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7585" w:rsidRDefault="000A7585" w:rsidP="000A758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7585" w:rsidRDefault="000A7585" w:rsidP="000A758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​‌‌​Учебник 10 класса.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редакций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доктора филологических наук, профессора М.В Вербицкой. Москва 2016 год. </w:t>
      </w:r>
    </w:p>
    <w:p w:rsidR="000A7585" w:rsidRDefault="000A7585" w:rsidP="000A758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11 класса.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редакций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доктора филологических наук, профессора М.В Вербицкой. Москва 2021 год. </w:t>
      </w:r>
    </w:p>
    <w:p w:rsidR="000A7585" w:rsidRDefault="000A7585" w:rsidP="000A7585">
      <w:pPr>
        <w:spacing w:after="0" w:line="480" w:lineRule="auto"/>
        <w:ind w:left="120"/>
        <w:rPr>
          <w:lang w:val="ru-RU"/>
        </w:rPr>
      </w:pPr>
    </w:p>
    <w:p w:rsidR="000A7585" w:rsidRDefault="000A7585" w:rsidP="000A75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7585" w:rsidRDefault="000A7585" w:rsidP="000A75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7585" w:rsidRDefault="000A7585" w:rsidP="000A758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A7585" w:rsidRDefault="000A7585" w:rsidP="000A7585">
      <w:pPr>
        <w:spacing w:after="0"/>
        <w:ind w:left="120"/>
        <w:rPr>
          <w:lang w:val="ru-RU"/>
        </w:rPr>
      </w:pPr>
    </w:p>
    <w:p w:rsidR="000A7585" w:rsidRDefault="000A7585" w:rsidP="000A75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7585" w:rsidRDefault="000A7585" w:rsidP="000A7585">
      <w:pPr>
        <w:spacing w:after="0" w:line="480" w:lineRule="auto"/>
        <w:ind w:left="120"/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Инфоурок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English </w:t>
      </w:r>
      <w:r>
        <w:rPr>
          <w:rFonts w:ascii="Times New Roman" w:hAnsi="Times New Roman"/>
          <w:b/>
          <w:color w:val="000000"/>
          <w:sz w:val="28"/>
          <w:lang w:val="ru-RU"/>
        </w:rPr>
        <w:t>учи</w:t>
      </w:r>
      <w:proofErr w:type="gramStart"/>
      <w:r>
        <w:rPr>
          <w:rFonts w:ascii="Times New Roman" w:hAnsi="Times New Roman"/>
          <w:b/>
          <w:color w:val="000000"/>
          <w:sz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proofErr w:type="spellEnd"/>
    </w:p>
    <w:p w:rsidR="00C073DB" w:rsidRDefault="00C073DB"/>
    <w:sectPr w:rsidR="00C073DB" w:rsidSect="00C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1B3"/>
    <w:multiLevelType w:val="multilevel"/>
    <w:tmpl w:val="D10A1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5E0B34"/>
    <w:multiLevelType w:val="multilevel"/>
    <w:tmpl w:val="DD5C8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6308FA"/>
    <w:multiLevelType w:val="multilevel"/>
    <w:tmpl w:val="42228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953E4D"/>
    <w:multiLevelType w:val="multilevel"/>
    <w:tmpl w:val="8F2022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5B518C"/>
    <w:multiLevelType w:val="multilevel"/>
    <w:tmpl w:val="6FD80E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EE4FCD"/>
    <w:multiLevelType w:val="multilevel"/>
    <w:tmpl w:val="3D2C4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CF3B5B"/>
    <w:multiLevelType w:val="multilevel"/>
    <w:tmpl w:val="99C460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85"/>
    <w:rsid w:val="000A7585"/>
    <w:rsid w:val="00C073DB"/>
    <w:rsid w:val="00CB45B1"/>
    <w:rsid w:val="00C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7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5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5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7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758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758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0A75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58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0A758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0A758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585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0A75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A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A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0A7585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A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0A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7585"/>
    <w:rPr>
      <w:rFonts w:ascii="Segoe UI" w:hAnsi="Segoe UI" w:cs="Segoe UI"/>
      <w:sz w:val="18"/>
      <w:szCs w:val="18"/>
      <w:lang w:val="en-US"/>
    </w:rPr>
  </w:style>
  <w:style w:type="character" w:customStyle="1" w:styleId="submenu-table">
    <w:name w:val="submenu-table"/>
    <w:basedOn w:val="a0"/>
    <w:rsid w:val="000A7585"/>
  </w:style>
  <w:style w:type="table" w:styleId="af">
    <w:name w:val="Table Grid"/>
    <w:basedOn w:val="a1"/>
    <w:uiPriority w:val="59"/>
    <w:rsid w:val="000A7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12827</Words>
  <Characters>73114</Characters>
  <Application>Microsoft Office Word</Application>
  <DocSecurity>0</DocSecurity>
  <Lines>609</Lines>
  <Paragraphs>171</Paragraphs>
  <ScaleCrop>false</ScaleCrop>
  <Company/>
  <LinksUpToDate>false</LinksUpToDate>
  <CharactersWithSpaces>85770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Anastasiia Mikhaleva</cp:lastModifiedBy>
  <cp:revision>3</cp:revision>
  <dcterms:created xsi:type="dcterms:W3CDTF">2023-09-27T14:29:00Z</dcterms:created>
  <dcterms:modified xsi:type="dcterms:W3CDTF">2023-11-03T17:15:00Z</dcterms:modified>
</cp:coreProperties>
</file>